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50A5" w14:textId="77777777" w:rsidR="00EE68C2" w:rsidRDefault="00831055" w:rsidP="00D4334E">
      <w:pPr>
        <w:jc w:val="center"/>
        <w:rPr>
          <w:rFonts w:ascii="Tahoma" w:hAnsi="Tahoma" w:cs="Tahoma"/>
          <w:b/>
          <w:sz w:val="32"/>
        </w:rPr>
      </w:pPr>
      <w:r>
        <w:rPr>
          <w:rFonts w:ascii="Tahoma" w:hAnsi="Tahoma" w:cs="Tahoma"/>
          <w:b/>
          <w:sz w:val="32"/>
        </w:rPr>
        <w:t>SIOUX COUNTY ORDINANCE NO. 31</w:t>
      </w:r>
    </w:p>
    <w:p w14:paraId="4CC696BE" w14:textId="77777777" w:rsidR="003C5165" w:rsidRDefault="003C5165" w:rsidP="00D4334E">
      <w:pPr>
        <w:pBdr>
          <w:bottom w:val="single" w:sz="12" w:space="1" w:color="auto"/>
        </w:pBdr>
        <w:jc w:val="center"/>
        <w:rPr>
          <w:rFonts w:ascii="Tahoma" w:hAnsi="Tahoma" w:cs="Tahoma"/>
          <w:sz w:val="32"/>
        </w:rPr>
      </w:pPr>
      <w:r w:rsidRPr="003C5165">
        <w:rPr>
          <w:rFonts w:ascii="Tahoma" w:hAnsi="Tahoma" w:cs="Tahoma"/>
          <w:sz w:val="32"/>
        </w:rPr>
        <w:t>Ordinance Regulating Social Hosts</w:t>
      </w:r>
    </w:p>
    <w:p w14:paraId="7991D7D4" w14:textId="77777777" w:rsidR="008F1B18" w:rsidRDefault="00AC44B0">
      <w:pPr>
        <w:rPr>
          <w:rFonts w:ascii="Tahoma" w:hAnsi="Tahoma" w:cs="Tahoma"/>
        </w:rPr>
      </w:pPr>
      <w:r>
        <w:rPr>
          <w:rFonts w:ascii="Tahoma" w:hAnsi="Tahoma" w:cs="Tahoma"/>
          <w:sz w:val="32"/>
        </w:rPr>
        <w:br/>
      </w:r>
      <w:r w:rsidR="003C5165" w:rsidRPr="003C5165">
        <w:rPr>
          <w:rFonts w:ascii="Tahoma" w:hAnsi="Tahoma" w:cs="Tahoma"/>
          <w:u w:val="single"/>
        </w:rPr>
        <w:t>Section 1 Purpose</w:t>
      </w:r>
      <w:r w:rsidR="003C5165">
        <w:rPr>
          <w:rFonts w:ascii="Tahoma" w:hAnsi="Tahoma" w:cs="Tahoma"/>
        </w:rPr>
        <w:t xml:space="preserve">: </w:t>
      </w:r>
    </w:p>
    <w:p w14:paraId="6B11D3ED" w14:textId="77777777" w:rsidR="008F1B18" w:rsidRDefault="008F1B18">
      <w:pPr>
        <w:rPr>
          <w:rFonts w:ascii="Tahoma" w:hAnsi="Tahoma" w:cs="Tahoma"/>
        </w:rPr>
      </w:pPr>
      <w:r>
        <w:rPr>
          <w:rFonts w:ascii="Tahoma" w:hAnsi="Tahoma" w:cs="Tahoma"/>
        </w:rPr>
        <w:t xml:space="preserve">The </w:t>
      </w:r>
      <w:r w:rsidR="00243DA8">
        <w:rPr>
          <w:rFonts w:ascii="Tahoma" w:hAnsi="Tahoma" w:cs="Tahoma"/>
        </w:rPr>
        <w:t xml:space="preserve">primary </w:t>
      </w:r>
      <w:r>
        <w:rPr>
          <w:rFonts w:ascii="Tahoma" w:hAnsi="Tahoma" w:cs="Tahoma"/>
        </w:rPr>
        <w:t>purpose of this ordinance is to prohibit the consumption of alcoholic beverages by persons under the age of twenty-one (21) at gatherings where adult persons knowingly allow or permit underage persons to drink alcoholic beverages on property they own or control. This ordinance is enacted to protect and preserve the rights, privilege</w:t>
      </w:r>
      <w:r w:rsidR="00D41506">
        <w:rPr>
          <w:rFonts w:ascii="Tahoma" w:hAnsi="Tahoma" w:cs="Tahoma"/>
        </w:rPr>
        <w:t>s, and property of the residents</w:t>
      </w:r>
      <w:r>
        <w:rPr>
          <w:rFonts w:ascii="Tahoma" w:hAnsi="Tahoma" w:cs="Tahoma"/>
        </w:rPr>
        <w:t xml:space="preserve"> of Sioux County and to preserve and improve the peace, safety, health, welfare, comfort, and convenience of the residents of Sioux County. </w:t>
      </w:r>
    </w:p>
    <w:p w14:paraId="25FC2B4D" w14:textId="77777777" w:rsidR="008F1B18" w:rsidRDefault="00E929FC">
      <w:pPr>
        <w:rPr>
          <w:rFonts w:ascii="Tahoma" w:hAnsi="Tahoma" w:cs="Tahoma"/>
        </w:rPr>
      </w:pPr>
      <w:r w:rsidRPr="008F1B18">
        <w:rPr>
          <w:rFonts w:ascii="Tahoma" w:hAnsi="Tahoma" w:cs="Tahoma"/>
        </w:rPr>
        <w:t xml:space="preserve">The County Board of Supervisors find that the occurrence of social gatherings at premises where alcoholic beverages are </w:t>
      </w:r>
      <w:r w:rsidR="00161E9D" w:rsidRPr="008F1B18">
        <w:rPr>
          <w:rFonts w:ascii="Tahoma" w:hAnsi="Tahoma" w:cs="Tahoma"/>
        </w:rPr>
        <w:t>served to</w:t>
      </w:r>
      <w:r w:rsidR="00FC1456">
        <w:rPr>
          <w:rFonts w:ascii="Tahoma" w:hAnsi="Tahoma" w:cs="Tahoma"/>
        </w:rPr>
        <w:t xml:space="preserve"> and/</w:t>
      </w:r>
      <w:r w:rsidR="00161E9D" w:rsidRPr="008F1B18">
        <w:rPr>
          <w:rFonts w:ascii="Tahoma" w:hAnsi="Tahoma" w:cs="Tahoma"/>
        </w:rPr>
        <w:t>or consumed by person</w:t>
      </w:r>
      <w:r w:rsidRPr="008F1B18">
        <w:rPr>
          <w:rFonts w:ascii="Tahoma" w:hAnsi="Tahoma" w:cs="Tahoma"/>
        </w:rPr>
        <w:t>s under the age of twenty-one (21) is harmful to such persons themselves and a threat to publi</w:t>
      </w:r>
      <w:r w:rsidR="00A976E2" w:rsidRPr="008F1B18">
        <w:rPr>
          <w:rFonts w:ascii="Tahoma" w:hAnsi="Tahoma" w:cs="Tahoma"/>
        </w:rPr>
        <w:t xml:space="preserve">c welfare, health, and safety. </w:t>
      </w:r>
    </w:p>
    <w:p w14:paraId="5615FAB8" w14:textId="77777777" w:rsidR="00E929FC" w:rsidRDefault="00E929FC">
      <w:pPr>
        <w:rPr>
          <w:rFonts w:ascii="Tahoma" w:hAnsi="Tahoma" w:cs="Tahoma"/>
        </w:rPr>
      </w:pPr>
      <w:r w:rsidRPr="008F1B18">
        <w:rPr>
          <w:rFonts w:ascii="Tahoma" w:hAnsi="Tahoma" w:cs="Tahoma"/>
        </w:rPr>
        <w:t>The County board of Supervisors further finds that persons under the age of twenty-one (21) often obtain alcoholic beverages at such gatherings and that person</w:t>
      </w:r>
      <w:r w:rsidR="00161E9D" w:rsidRPr="008F1B18">
        <w:rPr>
          <w:rFonts w:ascii="Tahoma" w:hAnsi="Tahoma" w:cs="Tahoma"/>
        </w:rPr>
        <w:t>s</w:t>
      </w:r>
      <w:r w:rsidRPr="008F1B18">
        <w:rPr>
          <w:rFonts w:ascii="Tahoma" w:hAnsi="Tahoma" w:cs="Tahoma"/>
        </w:rPr>
        <w:t xml:space="preserve"> who are in control of such premises know or have reason to know of such service and/or consumption and will be more likely to ensure that alcoholic beverages are neither served nor consumed by persons under the age of twenty-one (21) at the</w:t>
      </w:r>
      <w:r w:rsidR="00A976E2" w:rsidRPr="008F1B18">
        <w:rPr>
          <w:rFonts w:ascii="Tahoma" w:hAnsi="Tahoma" w:cs="Tahoma"/>
        </w:rPr>
        <w:t xml:space="preserve">se gatherings. </w:t>
      </w:r>
      <w:r w:rsidRPr="008F1B18">
        <w:rPr>
          <w:rFonts w:ascii="Tahoma" w:hAnsi="Tahoma" w:cs="Tahoma"/>
        </w:rPr>
        <w:t xml:space="preserve">Based on these findings, the County Supervisors have deemed it necessary to enact the following regulations in </w:t>
      </w:r>
      <w:r w:rsidR="008F1B18">
        <w:rPr>
          <w:rFonts w:ascii="Tahoma" w:hAnsi="Tahoma" w:cs="Tahoma"/>
        </w:rPr>
        <w:t xml:space="preserve">Sioux </w:t>
      </w:r>
      <w:r w:rsidRPr="008F1B18">
        <w:rPr>
          <w:rFonts w:ascii="Tahoma" w:hAnsi="Tahoma" w:cs="Tahoma"/>
        </w:rPr>
        <w:t>County.</w:t>
      </w:r>
    </w:p>
    <w:p w14:paraId="24404534" w14:textId="77777777" w:rsidR="008F1B18" w:rsidRPr="00A40747" w:rsidRDefault="00A40747">
      <w:pPr>
        <w:rPr>
          <w:rFonts w:ascii="Tahoma" w:hAnsi="Tahoma" w:cs="Tahoma"/>
        </w:rPr>
      </w:pPr>
      <w:r>
        <w:rPr>
          <w:rFonts w:ascii="Tahoma" w:hAnsi="Tahoma" w:cs="Tahoma"/>
          <w:u w:val="single"/>
        </w:rPr>
        <w:t>Section 2 Definitions</w:t>
      </w:r>
      <w:r>
        <w:rPr>
          <w:rFonts w:ascii="Tahoma" w:hAnsi="Tahoma" w:cs="Tahoma"/>
        </w:rPr>
        <w:t xml:space="preserve">: </w:t>
      </w:r>
    </w:p>
    <w:p w14:paraId="50ABA5FE" w14:textId="77777777" w:rsidR="005274D8" w:rsidRPr="008F1B18" w:rsidRDefault="00325129">
      <w:pPr>
        <w:rPr>
          <w:rFonts w:ascii="Tahoma" w:hAnsi="Tahoma" w:cs="Tahoma"/>
        </w:rPr>
      </w:pPr>
      <w:r w:rsidRPr="008F1B18">
        <w:rPr>
          <w:rFonts w:ascii="Tahoma" w:hAnsi="Tahoma" w:cs="Tahoma"/>
        </w:rPr>
        <w:t xml:space="preserve">Unless specifically defined below, words or phrases used in this ordinance shall be interpreted </w:t>
      </w:r>
      <w:proofErr w:type="gramStart"/>
      <w:r w:rsidRPr="008F1B18">
        <w:rPr>
          <w:rFonts w:ascii="Tahoma" w:hAnsi="Tahoma" w:cs="Tahoma"/>
        </w:rPr>
        <w:t>so as to</w:t>
      </w:r>
      <w:proofErr w:type="gramEnd"/>
      <w:r w:rsidRPr="008F1B18">
        <w:rPr>
          <w:rFonts w:ascii="Tahoma" w:hAnsi="Tahoma" w:cs="Tahoma"/>
        </w:rPr>
        <w:t xml:space="preserve"> give them the meaning they have in common usage and to give this </w:t>
      </w:r>
      <w:r w:rsidR="00A77894">
        <w:rPr>
          <w:rFonts w:ascii="Tahoma" w:hAnsi="Tahoma" w:cs="Tahoma"/>
        </w:rPr>
        <w:t>o</w:t>
      </w:r>
      <w:r w:rsidRPr="008F1B18">
        <w:rPr>
          <w:rFonts w:ascii="Tahoma" w:hAnsi="Tahoma" w:cs="Tahoma"/>
        </w:rPr>
        <w:t>rdinance its most reasonable application.</w:t>
      </w:r>
    </w:p>
    <w:p w14:paraId="640BF3C3"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“Adult Person” means any person age eighteen (18) or older.</w:t>
      </w:r>
    </w:p>
    <w:p w14:paraId="39936EA9" w14:textId="77777777" w:rsidR="00A40747" w:rsidRDefault="00325129" w:rsidP="00A40747">
      <w:pPr>
        <w:pStyle w:val="ListParagraph"/>
        <w:numPr>
          <w:ilvl w:val="0"/>
          <w:numId w:val="1"/>
        </w:numPr>
        <w:spacing w:after="60"/>
        <w:rPr>
          <w:rFonts w:ascii="Tahoma" w:eastAsia="Times New Roman" w:hAnsi="Tahoma" w:cs="Tahoma"/>
        </w:rPr>
      </w:pPr>
      <w:r w:rsidRPr="00657B22">
        <w:rPr>
          <w:rFonts w:ascii="Tahoma" w:eastAsia="Times New Roman" w:hAnsi="Tahoma" w:cs="Tahoma"/>
        </w:rPr>
        <w:t>“</w:t>
      </w:r>
      <w:r w:rsidR="00A40747" w:rsidRPr="00657B22">
        <w:rPr>
          <w:rFonts w:ascii="Tahoma" w:eastAsia="Times New Roman" w:hAnsi="Tahoma" w:cs="Tahoma"/>
        </w:rPr>
        <w:t>Al</w:t>
      </w:r>
      <w:r w:rsidRPr="00657B22">
        <w:rPr>
          <w:rFonts w:ascii="Tahoma" w:eastAsia="Times New Roman" w:hAnsi="Tahoma" w:cs="Tahoma"/>
        </w:rPr>
        <w:t xml:space="preserve">cohol” means ethyl alcohol, hydrated oxide of ethyl, or spirits of wine, whiskey, </w:t>
      </w:r>
      <w:r w:rsidR="00036242">
        <w:rPr>
          <w:rFonts w:ascii="Tahoma" w:eastAsia="Times New Roman" w:hAnsi="Tahoma" w:cs="Tahoma"/>
        </w:rPr>
        <w:t xml:space="preserve">vodka, </w:t>
      </w:r>
      <w:r w:rsidRPr="00657B22">
        <w:rPr>
          <w:rFonts w:ascii="Tahoma" w:eastAsia="Times New Roman" w:hAnsi="Tahoma" w:cs="Tahoma"/>
        </w:rPr>
        <w:t>rum, brandy, gin, or any other distilled spirits including dilutions and mixtures</w:t>
      </w:r>
      <w:r w:rsidRPr="00A40747">
        <w:rPr>
          <w:rFonts w:ascii="Tahoma" w:eastAsia="Times New Roman" w:hAnsi="Tahoma" w:cs="Tahoma"/>
        </w:rPr>
        <w:t xml:space="preserve"> thereof from whatever source or by whatever process produced. </w:t>
      </w:r>
    </w:p>
    <w:p w14:paraId="680915AB"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 xml:space="preserve">“Alcoholic beverage” means any beverage in any form that contains more than one half of one percent of alcohol by volume including alcoholic liquor, wine, or beer. </w:t>
      </w:r>
    </w:p>
    <w:p w14:paraId="3F913DE1"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 xml:space="preserve">“Emergency Responders” means firefighters, law enforcement officers, emergency medical service personnel, and other personnel having emergency response duties. </w:t>
      </w:r>
    </w:p>
    <w:p w14:paraId="41FFA4C6"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 xml:space="preserve">“Enforcement Services” means the salaries and benefits of emergency responders for the amount of time actually spent responding to or remaining at an event, gathering, or party and administrative costs attributable to the incident; the actual </w:t>
      </w:r>
      <w:r w:rsidRPr="00A40747">
        <w:rPr>
          <w:rFonts w:ascii="Tahoma" w:eastAsia="Times New Roman" w:hAnsi="Tahoma" w:cs="Tahoma"/>
        </w:rPr>
        <w:lastRenderedPageBreak/>
        <w:t xml:space="preserve">costs for medical treatment for any injured emergency responder, and the costs of repairing any damage to equipment or vehicles. </w:t>
      </w:r>
    </w:p>
    <w:p w14:paraId="07611713"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 xml:space="preserve">“Event, gathering, or party” means any group of </w:t>
      </w:r>
      <w:r w:rsidRPr="00146A47">
        <w:rPr>
          <w:rFonts w:ascii="Tahoma" w:eastAsia="Times New Roman" w:hAnsi="Tahoma" w:cs="Tahoma"/>
        </w:rPr>
        <w:t>three (3) or more persons</w:t>
      </w:r>
      <w:r w:rsidRPr="00A40747">
        <w:rPr>
          <w:rFonts w:ascii="Tahoma" w:eastAsia="Times New Roman" w:hAnsi="Tahoma" w:cs="Tahoma"/>
        </w:rPr>
        <w:t xml:space="preserve"> who have assembled or gathered together for a soci</w:t>
      </w:r>
      <w:r w:rsidR="00A40747">
        <w:rPr>
          <w:rFonts w:ascii="Tahoma" w:eastAsia="Times New Roman" w:hAnsi="Tahoma" w:cs="Tahoma"/>
        </w:rPr>
        <w:t xml:space="preserve">al occasion or other activity. </w:t>
      </w:r>
    </w:p>
    <w:p w14:paraId="32BEF0E5" w14:textId="77777777" w:rsidR="00A40747" w:rsidRPr="00036242" w:rsidRDefault="00325129" w:rsidP="00A40747">
      <w:pPr>
        <w:pStyle w:val="ListParagraph"/>
        <w:numPr>
          <w:ilvl w:val="0"/>
          <w:numId w:val="1"/>
        </w:numPr>
        <w:spacing w:after="60"/>
        <w:rPr>
          <w:rFonts w:ascii="Tahoma" w:eastAsia="Times New Roman" w:hAnsi="Tahoma" w:cs="Tahoma"/>
        </w:rPr>
      </w:pPr>
      <w:r w:rsidRPr="00036242">
        <w:rPr>
          <w:rFonts w:ascii="Tahoma" w:eastAsia="Times New Roman" w:hAnsi="Tahoma" w:cs="Tahoma"/>
        </w:rPr>
        <w:t>“Juvenile” means a person under the age of eighteen</w:t>
      </w:r>
      <w:r w:rsidR="00A40747" w:rsidRPr="00036242">
        <w:rPr>
          <w:rFonts w:ascii="Tahoma" w:eastAsia="Times New Roman" w:hAnsi="Tahoma" w:cs="Tahoma"/>
        </w:rPr>
        <w:t xml:space="preserve"> (18). </w:t>
      </w:r>
    </w:p>
    <w:p w14:paraId="622C557C"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 xml:space="preserve">“Legal age” means twenty-one (21) years of age or more. </w:t>
      </w:r>
    </w:p>
    <w:p w14:paraId="59D85D26"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“Parent” means any person having legal custody of a juvenile: (1) as a natural parent, adoptive parent, or step-parent; (2) as a legal guardian; (3) as a person to whom legal custody has been given by order of the court</w:t>
      </w:r>
      <w:r w:rsidR="00960164">
        <w:rPr>
          <w:rFonts w:ascii="Tahoma" w:eastAsia="Times New Roman" w:hAnsi="Tahoma" w:cs="Tahoma"/>
        </w:rPr>
        <w:t>.</w:t>
      </w:r>
    </w:p>
    <w:p w14:paraId="5C7A523F"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 xml:space="preserve">“Person” means any individual, partnership, corporation, or any association of one or more individuals.  </w:t>
      </w:r>
    </w:p>
    <w:p w14:paraId="5BB213C0" w14:textId="77777777" w:rsid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 xml:space="preserve">“Possession or Control” means actual possession or constructive possession based on facts, which permit the inference of intent to possess or control alcoholic beverages. </w:t>
      </w:r>
    </w:p>
    <w:p w14:paraId="59AC96EC" w14:textId="77777777" w:rsidR="00A40747" w:rsidRP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rPr>
        <w:t>“Premises” means any home, yard, farm, field, land, apartment, condominium, hotel or motel room, other dwelling unit, hall or meeting room, garage, barn, park, tent, camper/RV,</w:t>
      </w:r>
      <w:r w:rsidRPr="00A40747">
        <w:rPr>
          <w:rFonts w:ascii="Tahoma" w:eastAsia="Times New Roman" w:hAnsi="Tahoma" w:cs="Tahoma"/>
          <w:color w:val="FF0000"/>
        </w:rPr>
        <w:t xml:space="preserve"> </w:t>
      </w:r>
      <w:r w:rsidRPr="00A40747">
        <w:rPr>
          <w:rFonts w:ascii="Tahoma" w:eastAsia="Times New Roman" w:hAnsi="Tahoma" w:cs="Tahoma"/>
          <w:color w:val="000000"/>
        </w:rPr>
        <w:t>or any other place conducive to assembly, public or private, whether occupied on a permanent or temporary basis, whether occupied as a dwelling or specifically for an event, gathering, or party, and whether owned, leased, rented or used with or witho</w:t>
      </w:r>
      <w:r w:rsidR="00A40747">
        <w:rPr>
          <w:rFonts w:ascii="Tahoma" w:eastAsia="Times New Roman" w:hAnsi="Tahoma" w:cs="Tahoma"/>
          <w:color w:val="000000"/>
        </w:rPr>
        <w:t xml:space="preserve">ut permission or compensation. </w:t>
      </w:r>
    </w:p>
    <w:p w14:paraId="4D26C455" w14:textId="77777777" w:rsidR="00A40747" w:rsidRP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color w:val="000000"/>
        </w:rPr>
        <w:t xml:space="preserve">“Public place” means the same as defined in Iowa Code section 123.3(27). </w:t>
      </w:r>
    </w:p>
    <w:p w14:paraId="6346E098" w14:textId="77777777" w:rsidR="00325129" w:rsidRPr="00A40747" w:rsidRDefault="00325129" w:rsidP="00A40747">
      <w:pPr>
        <w:pStyle w:val="ListParagraph"/>
        <w:numPr>
          <w:ilvl w:val="0"/>
          <w:numId w:val="1"/>
        </w:numPr>
        <w:spacing w:after="60"/>
        <w:rPr>
          <w:rFonts w:ascii="Tahoma" w:eastAsia="Times New Roman" w:hAnsi="Tahoma" w:cs="Tahoma"/>
        </w:rPr>
      </w:pPr>
      <w:r w:rsidRPr="00A40747">
        <w:rPr>
          <w:rFonts w:ascii="Tahoma" w:eastAsia="Times New Roman" w:hAnsi="Tahoma" w:cs="Tahoma"/>
          <w:color w:val="000000"/>
        </w:rPr>
        <w:t xml:space="preserve">“Social host” means </w:t>
      </w:r>
      <w:r w:rsidRPr="008C648A">
        <w:rPr>
          <w:rFonts w:ascii="Tahoma" w:eastAsia="Times New Roman" w:hAnsi="Tahoma" w:cs="Tahoma"/>
          <w:color w:val="000000"/>
        </w:rPr>
        <w:t>any person</w:t>
      </w:r>
      <w:r w:rsidR="00960164">
        <w:rPr>
          <w:rFonts w:ascii="Tahoma" w:eastAsia="Times New Roman" w:hAnsi="Tahoma" w:cs="Tahoma"/>
          <w:color w:val="000000"/>
        </w:rPr>
        <w:t xml:space="preserve">, partnership, corporation, or association of one or more individuals, </w:t>
      </w:r>
      <w:r w:rsidRPr="008C648A">
        <w:rPr>
          <w:rFonts w:ascii="Tahoma" w:eastAsia="Times New Roman" w:hAnsi="Tahoma" w:cs="Tahoma"/>
          <w:color w:val="000000"/>
        </w:rPr>
        <w:t>who aids, allows, entertains, organizes, supervises, controls</w:t>
      </w:r>
      <w:r w:rsidR="00960164" w:rsidRPr="008C648A">
        <w:rPr>
          <w:rFonts w:ascii="Tahoma" w:eastAsia="Times New Roman" w:hAnsi="Tahoma" w:cs="Tahoma"/>
          <w:color w:val="000000"/>
        </w:rPr>
        <w:t>,</w:t>
      </w:r>
      <w:r w:rsidRPr="008C648A">
        <w:rPr>
          <w:rFonts w:ascii="Tahoma" w:eastAsia="Times New Roman" w:hAnsi="Tahoma" w:cs="Tahoma"/>
          <w:color w:val="000000"/>
        </w:rPr>
        <w:t xml:space="preserve"> or permits an event, gathering, or party</w:t>
      </w:r>
      <w:r w:rsidRPr="00A40747">
        <w:rPr>
          <w:rFonts w:ascii="Tahoma" w:eastAsia="Times New Roman" w:hAnsi="Tahoma" w:cs="Tahoma"/>
          <w:color w:val="000000"/>
        </w:rPr>
        <w:t xml:space="preserve">. This includes but is not limited to: </w:t>
      </w:r>
    </w:p>
    <w:p w14:paraId="312320C1" w14:textId="77777777" w:rsidR="00A40747" w:rsidRDefault="00A40747" w:rsidP="00A40747">
      <w:pPr>
        <w:pStyle w:val="ListParagraph"/>
        <w:numPr>
          <w:ilvl w:val="1"/>
          <w:numId w:val="1"/>
        </w:numPr>
        <w:spacing w:after="60" w:line="240" w:lineRule="auto"/>
        <w:rPr>
          <w:rFonts w:ascii="Tahoma" w:eastAsia="Times New Roman" w:hAnsi="Tahoma" w:cs="Tahoma"/>
          <w:color w:val="000000"/>
        </w:rPr>
      </w:pPr>
      <w:r w:rsidRPr="00A40747">
        <w:rPr>
          <w:rFonts w:ascii="Tahoma" w:eastAsia="Times New Roman" w:hAnsi="Tahoma" w:cs="Tahoma"/>
          <w:color w:val="000000"/>
        </w:rPr>
        <w:t>the person</w:t>
      </w:r>
      <w:r w:rsidR="00960164">
        <w:rPr>
          <w:rFonts w:ascii="Tahoma" w:eastAsia="Times New Roman" w:hAnsi="Tahoma" w:cs="Tahoma"/>
          <w:color w:val="000000"/>
        </w:rPr>
        <w:t>(s)</w:t>
      </w:r>
      <w:r w:rsidRPr="00A40747">
        <w:rPr>
          <w:rFonts w:ascii="Tahoma" w:eastAsia="Times New Roman" w:hAnsi="Tahoma" w:cs="Tahoma"/>
          <w:color w:val="000000"/>
        </w:rPr>
        <w:t xml:space="preserve"> who owns, rents, leases, or otherwise has control of the premises where the event, gathering, or party takes place;</w:t>
      </w:r>
    </w:p>
    <w:p w14:paraId="2BAC576B" w14:textId="77777777" w:rsidR="00A40747" w:rsidRDefault="00A40747" w:rsidP="00A40747">
      <w:pPr>
        <w:pStyle w:val="ListParagraph"/>
        <w:numPr>
          <w:ilvl w:val="1"/>
          <w:numId w:val="1"/>
        </w:numPr>
        <w:spacing w:after="60" w:line="240" w:lineRule="auto"/>
        <w:rPr>
          <w:rFonts w:ascii="Tahoma" w:eastAsia="Times New Roman" w:hAnsi="Tahoma" w:cs="Tahoma"/>
          <w:color w:val="000000"/>
        </w:rPr>
      </w:pPr>
      <w:r w:rsidRPr="00A40747">
        <w:rPr>
          <w:rFonts w:ascii="Tahoma" w:eastAsia="Times New Roman" w:hAnsi="Tahoma" w:cs="Tahoma"/>
          <w:color w:val="000000"/>
        </w:rPr>
        <w:t>the person(s) in charge of the premises; or</w:t>
      </w:r>
    </w:p>
    <w:p w14:paraId="0DA26C68" w14:textId="77777777" w:rsidR="00A40747" w:rsidRDefault="00A40747" w:rsidP="00A40747">
      <w:pPr>
        <w:pStyle w:val="ListParagraph"/>
        <w:numPr>
          <w:ilvl w:val="1"/>
          <w:numId w:val="1"/>
        </w:numPr>
        <w:spacing w:after="60" w:line="240" w:lineRule="auto"/>
        <w:rPr>
          <w:rFonts w:ascii="Tahoma" w:eastAsia="Times New Roman" w:hAnsi="Tahoma" w:cs="Tahoma"/>
          <w:color w:val="000000"/>
        </w:rPr>
      </w:pPr>
      <w:r w:rsidRPr="00A40747">
        <w:rPr>
          <w:rFonts w:ascii="Tahoma" w:eastAsia="Times New Roman" w:hAnsi="Tahoma" w:cs="Tahoma"/>
          <w:color w:val="000000"/>
        </w:rPr>
        <w:t>the person(s) responsible for organizing the event, gathering, or party.</w:t>
      </w:r>
    </w:p>
    <w:p w14:paraId="2B257EAA" w14:textId="77777777" w:rsidR="00960164" w:rsidRPr="00A40747" w:rsidRDefault="00960164" w:rsidP="00960164">
      <w:pPr>
        <w:pStyle w:val="ListParagraph"/>
        <w:spacing w:after="60" w:line="240" w:lineRule="auto"/>
        <w:ind w:left="1080"/>
        <w:rPr>
          <w:rFonts w:ascii="Tahoma" w:eastAsia="Times New Roman" w:hAnsi="Tahoma" w:cs="Tahoma"/>
          <w:color w:val="000000"/>
        </w:rPr>
      </w:pPr>
      <w:r>
        <w:rPr>
          <w:rFonts w:ascii="Tahoma" w:eastAsia="Times New Roman" w:hAnsi="Tahoma" w:cs="Tahoma"/>
          <w:color w:val="000000"/>
        </w:rPr>
        <w:t xml:space="preserve">This </w:t>
      </w:r>
      <w:r w:rsidR="00A77894">
        <w:rPr>
          <w:rFonts w:ascii="Tahoma" w:eastAsia="Times New Roman" w:hAnsi="Tahoma" w:cs="Tahoma"/>
          <w:color w:val="000000"/>
        </w:rPr>
        <w:t>o</w:t>
      </w:r>
      <w:r>
        <w:rPr>
          <w:rFonts w:ascii="Tahoma" w:eastAsia="Times New Roman" w:hAnsi="Tahoma" w:cs="Tahoma"/>
          <w:color w:val="000000"/>
        </w:rPr>
        <w:t xml:space="preserve">rdinance does not apply to a social host who is a juvenile; however, if the social host is a juvenile and the parent(s) of the juvenile know(s) of the event, gathering, or party, and know(s) that the consumption of alcohol is occurring, the parent(s) shall be liable for violations of this </w:t>
      </w:r>
      <w:r w:rsidR="00A77894">
        <w:rPr>
          <w:rFonts w:ascii="Tahoma" w:eastAsia="Times New Roman" w:hAnsi="Tahoma" w:cs="Tahoma"/>
          <w:color w:val="000000"/>
        </w:rPr>
        <w:t>o</w:t>
      </w:r>
      <w:r>
        <w:rPr>
          <w:rFonts w:ascii="Tahoma" w:eastAsia="Times New Roman" w:hAnsi="Tahoma" w:cs="Tahoma"/>
          <w:color w:val="000000"/>
        </w:rPr>
        <w:t xml:space="preserve">rdinance. </w:t>
      </w:r>
    </w:p>
    <w:p w14:paraId="58791207" w14:textId="77777777" w:rsidR="00A40747" w:rsidRPr="00960164" w:rsidRDefault="00A40747" w:rsidP="00A40747">
      <w:pPr>
        <w:pStyle w:val="ListParagraph"/>
        <w:numPr>
          <w:ilvl w:val="0"/>
          <w:numId w:val="1"/>
        </w:numPr>
        <w:spacing w:after="240" w:line="240" w:lineRule="auto"/>
        <w:rPr>
          <w:rFonts w:ascii="Tahoma" w:eastAsia="Times New Roman" w:hAnsi="Tahoma" w:cs="Tahoma"/>
          <w:color w:val="000000"/>
        </w:rPr>
      </w:pPr>
      <w:r w:rsidRPr="00960164">
        <w:rPr>
          <w:rFonts w:ascii="Tahoma" w:eastAsia="Times New Roman" w:hAnsi="Tahoma" w:cs="Tahoma"/>
          <w:color w:val="000000"/>
        </w:rPr>
        <w:t>“Underage person” means any person under the age of twenty-one (21).</w:t>
      </w:r>
    </w:p>
    <w:p w14:paraId="37B58151" w14:textId="77777777" w:rsidR="00A40747" w:rsidRPr="00A40747" w:rsidRDefault="00A40747" w:rsidP="00A40747">
      <w:pPr>
        <w:pStyle w:val="ListParagraph"/>
        <w:spacing w:after="60"/>
        <w:ind w:left="1080"/>
        <w:rPr>
          <w:rFonts w:ascii="Tahoma" w:eastAsia="Times New Roman" w:hAnsi="Tahoma" w:cs="Tahoma"/>
        </w:rPr>
      </w:pPr>
    </w:p>
    <w:p w14:paraId="492ED40C" w14:textId="77777777" w:rsidR="002269EE" w:rsidRPr="00A40747" w:rsidRDefault="002269EE" w:rsidP="002269EE">
      <w:pPr>
        <w:rPr>
          <w:rFonts w:ascii="Tahoma" w:hAnsi="Tahoma" w:cs="Tahoma"/>
        </w:rPr>
      </w:pPr>
      <w:r>
        <w:rPr>
          <w:rFonts w:ascii="Tahoma" w:hAnsi="Tahoma" w:cs="Tahoma"/>
          <w:u w:val="single"/>
        </w:rPr>
        <w:t xml:space="preserve">Section 3 </w:t>
      </w:r>
      <w:r w:rsidR="00570517">
        <w:rPr>
          <w:rFonts w:ascii="Tahoma" w:hAnsi="Tahoma" w:cs="Tahoma"/>
          <w:u w:val="single"/>
        </w:rPr>
        <w:t>Affirmative Duties</w:t>
      </w:r>
      <w:r>
        <w:rPr>
          <w:rFonts w:ascii="Tahoma" w:hAnsi="Tahoma" w:cs="Tahoma"/>
        </w:rPr>
        <w:t xml:space="preserve">: </w:t>
      </w:r>
    </w:p>
    <w:p w14:paraId="24899F1C" w14:textId="77777777" w:rsidR="003C3764" w:rsidRPr="008F1B18" w:rsidRDefault="00384BC4" w:rsidP="00570517">
      <w:pPr>
        <w:spacing w:after="60" w:line="240" w:lineRule="auto"/>
        <w:rPr>
          <w:rFonts w:ascii="Tahoma" w:hAnsi="Tahoma" w:cs="Tahoma"/>
        </w:rPr>
      </w:pPr>
      <w:r w:rsidRPr="008F1B18">
        <w:rPr>
          <w:rFonts w:ascii="Tahoma" w:hAnsi="Tahoma" w:cs="Tahoma"/>
        </w:rPr>
        <w:t>It is the duty of the social host of an event, gathering, or party to take all reasonable steps to prevent alcoholic beverages from being possessed or consumed by und</w:t>
      </w:r>
      <w:r w:rsidR="00A976E2" w:rsidRPr="008F1B18">
        <w:rPr>
          <w:rFonts w:ascii="Tahoma" w:hAnsi="Tahoma" w:cs="Tahoma"/>
        </w:rPr>
        <w:t xml:space="preserve">erage persons on the premises. </w:t>
      </w:r>
      <w:r w:rsidRPr="008F1B18">
        <w:rPr>
          <w:rFonts w:ascii="Tahoma" w:hAnsi="Tahoma" w:cs="Tahoma"/>
        </w:rPr>
        <w:t>Reasonable steps include, but are not limited to:</w:t>
      </w:r>
    </w:p>
    <w:p w14:paraId="4EA9CB57" w14:textId="77777777" w:rsidR="00570517" w:rsidRPr="00570517" w:rsidRDefault="00384BC4" w:rsidP="00570517">
      <w:pPr>
        <w:pStyle w:val="ListParagraph"/>
        <w:numPr>
          <w:ilvl w:val="0"/>
          <w:numId w:val="2"/>
        </w:numPr>
        <w:spacing w:after="60" w:line="240" w:lineRule="auto"/>
        <w:rPr>
          <w:rFonts w:ascii="Tahoma" w:hAnsi="Tahoma" w:cs="Tahoma"/>
        </w:rPr>
      </w:pPr>
      <w:r w:rsidRPr="00570517">
        <w:rPr>
          <w:rFonts w:ascii="Tahoma" w:hAnsi="Tahoma" w:cs="Tahoma"/>
        </w:rPr>
        <w:t>Controlling underage persons’ access to alcoholic beverages,</w:t>
      </w:r>
    </w:p>
    <w:p w14:paraId="62EA9E19" w14:textId="77777777" w:rsidR="00570517" w:rsidRDefault="00384BC4" w:rsidP="00570517">
      <w:pPr>
        <w:pStyle w:val="ListParagraph"/>
        <w:numPr>
          <w:ilvl w:val="0"/>
          <w:numId w:val="2"/>
        </w:numPr>
        <w:spacing w:after="60" w:line="240" w:lineRule="auto"/>
        <w:rPr>
          <w:rFonts w:ascii="Tahoma" w:hAnsi="Tahoma" w:cs="Tahoma"/>
        </w:rPr>
      </w:pPr>
      <w:r w:rsidRPr="00570517">
        <w:rPr>
          <w:rFonts w:ascii="Tahoma" w:hAnsi="Tahoma" w:cs="Tahoma"/>
        </w:rPr>
        <w:t>Controlling the quantity of alcoholic beverages,</w:t>
      </w:r>
    </w:p>
    <w:p w14:paraId="5DC00896" w14:textId="77777777" w:rsidR="00570517" w:rsidRDefault="00384BC4" w:rsidP="00570517">
      <w:pPr>
        <w:pStyle w:val="ListParagraph"/>
        <w:numPr>
          <w:ilvl w:val="0"/>
          <w:numId w:val="2"/>
        </w:numPr>
        <w:spacing w:after="60" w:line="240" w:lineRule="auto"/>
        <w:rPr>
          <w:rFonts w:ascii="Tahoma" w:hAnsi="Tahoma" w:cs="Tahoma"/>
        </w:rPr>
      </w:pPr>
      <w:r w:rsidRPr="00570517">
        <w:rPr>
          <w:rFonts w:ascii="Tahoma" w:hAnsi="Tahoma" w:cs="Tahoma"/>
        </w:rPr>
        <w:t xml:space="preserve">Verifying the age of persons being served, in the possession of, or consuming alcoholic beverages at the event, gathering, </w:t>
      </w:r>
      <w:r w:rsidR="00161E9D" w:rsidRPr="00570517">
        <w:rPr>
          <w:rFonts w:ascii="Tahoma" w:hAnsi="Tahoma" w:cs="Tahoma"/>
        </w:rPr>
        <w:t>or party by inspecting driver’s</w:t>
      </w:r>
      <w:r w:rsidRPr="00570517">
        <w:rPr>
          <w:rFonts w:ascii="Tahoma" w:hAnsi="Tahoma" w:cs="Tahoma"/>
        </w:rPr>
        <w:t xml:space="preserve"> licenses or other government-issued identification cards,</w:t>
      </w:r>
    </w:p>
    <w:p w14:paraId="2B1644BA" w14:textId="77777777" w:rsidR="00570517" w:rsidRDefault="00570517" w:rsidP="00570517">
      <w:pPr>
        <w:pStyle w:val="ListParagraph"/>
        <w:numPr>
          <w:ilvl w:val="0"/>
          <w:numId w:val="2"/>
        </w:numPr>
        <w:spacing w:after="60" w:line="240" w:lineRule="auto"/>
        <w:rPr>
          <w:rFonts w:ascii="Tahoma" w:hAnsi="Tahoma" w:cs="Tahoma"/>
        </w:rPr>
      </w:pPr>
      <w:r>
        <w:rPr>
          <w:rFonts w:ascii="Tahoma" w:hAnsi="Tahoma" w:cs="Tahoma"/>
        </w:rPr>
        <w:lastRenderedPageBreak/>
        <w:t>S</w:t>
      </w:r>
      <w:r w:rsidR="00384BC4" w:rsidRPr="00570517">
        <w:rPr>
          <w:rFonts w:ascii="Tahoma" w:hAnsi="Tahoma" w:cs="Tahoma"/>
        </w:rPr>
        <w:t>upervising the activities of underage persons at the party, and</w:t>
      </w:r>
      <w:r w:rsidR="008F6223">
        <w:rPr>
          <w:rFonts w:ascii="Tahoma" w:hAnsi="Tahoma" w:cs="Tahoma"/>
        </w:rPr>
        <w:t xml:space="preserve"> </w:t>
      </w:r>
    </w:p>
    <w:p w14:paraId="10574C12" w14:textId="77777777" w:rsidR="00384BC4" w:rsidRDefault="00384BC4" w:rsidP="00570517">
      <w:pPr>
        <w:pStyle w:val="ListParagraph"/>
        <w:numPr>
          <w:ilvl w:val="0"/>
          <w:numId w:val="2"/>
        </w:numPr>
        <w:spacing w:after="60" w:line="240" w:lineRule="auto"/>
        <w:rPr>
          <w:rFonts w:ascii="Tahoma" w:hAnsi="Tahoma" w:cs="Tahoma"/>
        </w:rPr>
      </w:pPr>
      <w:r w:rsidRPr="00570517">
        <w:rPr>
          <w:rFonts w:ascii="Tahoma" w:hAnsi="Tahoma" w:cs="Tahoma"/>
        </w:rPr>
        <w:t>Notifying law enforcement of underage possession or consumption of alcoholic</w:t>
      </w:r>
      <w:r w:rsidR="008F6223">
        <w:rPr>
          <w:rFonts w:ascii="Tahoma" w:hAnsi="Tahoma" w:cs="Tahoma"/>
        </w:rPr>
        <w:t xml:space="preserve"> </w:t>
      </w:r>
      <w:r w:rsidRPr="00570517">
        <w:rPr>
          <w:rFonts w:ascii="Tahoma" w:hAnsi="Tahoma" w:cs="Tahoma"/>
        </w:rPr>
        <w:t xml:space="preserve">beverages, and allowing law enforcement to enter the premises for the purpose of stopping the possession or </w:t>
      </w:r>
      <w:r w:rsidR="008F6223">
        <w:rPr>
          <w:rFonts w:ascii="Tahoma" w:hAnsi="Tahoma" w:cs="Tahoma"/>
        </w:rPr>
        <w:t xml:space="preserve">consumption by underage persons. </w:t>
      </w:r>
    </w:p>
    <w:p w14:paraId="000E005F" w14:textId="77777777" w:rsidR="00570517" w:rsidRDefault="00570517" w:rsidP="00570517">
      <w:pPr>
        <w:spacing w:after="60" w:line="240" w:lineRule="auto"/>
        <w:rPr>
          <w:rFonts w:ascii="Tahoma" w:hAnsi="Tahoma" w:cs="Tahoma"/>
        </w:rPr>
      </w:pPr>
    </w:p>
    <w:p w14:paraId="3430E7F9" w14:textId="77777777" w:rsidR="008F6223" w:rsidRPr="00A40747" w:rsidRDefault="008F6223" w:rsidP="008F6223">
      <w:pPr>
        <w:rPr>
          <w:rFonts w:ascii="Tahoma" w:hAnsi="Tahoma" w:cs="Tahoma"/>
        </w:rPr>
      </w:pPr>
      <w:r>
        <w:rPr>
          <w:rFonts w:ascii="Tahoma" w:hAnsi="Tahoma" w:cs="Tahoma"/>
          <w:u w:val="single"/>
        </w:rPr>
        <w:t>Section 4 Prohibited Acts</w:t>
      </w:r>
      <w:r>
        <w:rPr>
          <w:rFonts w:ascii="Tahoma" w:hAnsi="Tahoma" w:cs="Tahoma"/>
        </w:rPr>
        <w:t xml:space="preserve">: </w:t>
      </w:r>
    </w:p>
    <w:p w14:paraId="533FFC6C" w14:textId="77777777" w:rsidR="003D070A" w:rsidRPr="008C648A" w:rsidRDefault="003D070A" w:rsidP="008C6EBA">
      <w:pPr>
        <w:spacing w:after="0" w:line="240" w:lineRule="auto"/>
        <w:rPr>
          <w:rFonts w:ascii="Tahoma" w:eastAsia="Times New Roman" w:hAnsi="Tahoma" w:cs="Tahoma"/>
        </w:rPr>
      </w:pPr>
      <w:r w:rsidRPr="008C648A">
        <w:rPr>
          <w:rFonts w:ascii="Tahoma" w:eastAsia="Times New Roman" w:hAnsi="Tahoma" w:cs="Tahoma"/>
        </w:rPr>
        <w:t xml:space="preserve">It is unlawful for any social host of an event, gathering, or party on the social host’s premises to knowingly permit or allow underage persons to </w:t>
      </w:r>
      <w:r w:rsidR="007D106C" w:rsidRPr="008C648A">
        <w:rPr>
          <w:rFonts w:ascii="Tahoma" w:eastAsia="Times New Roman" w:hAnsi="Tahoma" w:cs="Tahoma"/>
        </w:rPr>
        <w:t xml:space="preserve">possess or </w:t>
      </w:r>
      <w:r w:rsidRPr="008C648A">
        <w:rPr>
          <w:rFonts w:ascii="Tahoma" w:eastAsia="Times New Roman" w:hAnsi="Tahoma" w:cs="Tahoma"/>
        </w:rPr>
        <w:t>consume alcoholic beverages,</w:t>
      </w:r>
      <w:r w:rsidR="007D106C" w:rsidRPr="008C648A">
        <w:rPr>
          <w:rFonts w:ascii="Tahoma" w:eastAsia="Times New Roman" w:hAnsi="Tahoma" w:cs="Tahoma"/>
        </w:rPr>
        <w:t xml:space="preserve"> </w:t>
      </w:r>
      <w:r w:rsidRPr="008C648A">
        <w:rPr>
          <w:rFonts w:ascii="Tahoma" w:eastAsia="Times New Roman" w:hAnsi="Tahoma" w:cs="Tahoma"/>
        </w:rPr>
        <w:t xml:space="preserve">whether or not the social host is present on the premises. </w:t>
      </w:r>
    </w:p>
    <w:p w14:paraId="58C38EDA" w14:textId="77777777" w:rsidR="007D106C" w:rsidRPr="008F1B18" w:rsidRDefault="007D106C" w:rsidP="008C6EBA">
      <w:pPr>
        <w:spacing w:after="0" w:line="240" w:lineRule="auto"/>
        <w:rPr>
          <w:rFonts w:ascii="Tahoma" w:eastAsia="Times New Roman" w:hAnsi="Tahoma" w:cs="Tahoma"/>
          <w:color w:val="000000"/>
        </w:rPr>
      </w:pPr>
    </w:p>
    <w:p w14:paraId="614C364E" w14:textId="77777777" w:rsidR="003D070A" w:rsidRPr="008F1B18" w:rsidRDefault="003D070A" w:rsidP="008C6EBA">
      <w:pPr>
        <w:spacing w:after="120" w:line="240" w:lineRule="auto"/>
        <w:rPr>
          <w:rFonts w:ascii="Tahoma" w:eastAsia="Times New Roman" w:hAnsi="Tahoma" w:cs="Tahoma"/>
          <w:color w:val="000000"/>
        </w:rPr>
      </w:pPr>
      <w:r w:rsidRPr="008F1B18">
        <w:rPr>
          <w:rFonts w:ascii="Tahoma" w:eastAsia="Times New Roman" w:hAnsi="Tahoma" w:cs="Tahoma"/>
          <w:color w:val="000000"/>
        </w:rPr>
        <w:t xml:space="preserve">It is unlawful for any social host to host an event, gathering, or party on premises when the </w:t>
      </w:r>
      <w:r w:rsidRPr="007D106C">
        <w:rPr>
          <w:rFonts w:ascii="Tahoma" w:eastAsia="Times New Roman" w:hAnsi="Tahoma" w:cs="Tahoma"/>
          <w:color w:val="000000"/>
        </w:rPr>
        <w:t>person knows or reasonably should know that an underage person has consumed an alcoholic beverage, or possess an alcoholic beverage with the intent to consume it, and the person fails to take reasonable steps to prevent the possession or consumption by the underage person</w:t>
      </w:r>
      <w:r w:rsidRPr="008F1B18">
        <w:rPr>
          <w:rFonts w:ascii="Tahoma" w:eastAsia="Times New Roman" w:hAnsi="Tahoma" w:cs="Tahoma"/>
          <w:color w:val="000000"/>
        </w:rPr>
        <w:t xml:space="preserve">. A social host who hosts such an event, gathering, or party does not have to be present at the time the prohibited act occurs. </w:t>
      </w:r>
    </w:p>
    <w:p w14:paraId="43CC4ADE" w14:textId="77777777" w:rsidR="003D070A" w:rsidRPr="008F1B18" w:rsidRDefault="003D070A" w:rsidP="008C6EBA">
      <w:pPr>
        <w:spacing w:after="120" w:line="240" w:lineRule="auto"/>
        <w:rPr>
          <w:rFonts w:ascii="Tahoma" w:eastAsia="Times New Roman" w:hAnsi="Tahoma" w:cs="Tahoma"/>
          <w:color w:val="000000"/>
        </w:rPr>
      </w:pPr>
      <w:r w:rsidRPr="008F1B18">
        <w:rPr>
          <w:rFonts w:ascii="Tahoma" w:eastAsia="Times New Roman" w:hAnsi="Tahoma" w:cs="Tahoma"/>
          <w:color w:val="000000"/>
        </w:rPr>
        <w:t xml:space="preserve">A person under the legal age who has consumed alcoholic liquor, wine, or beer shall be presumed to have had the same in his or her possession or control prior to its consumption.  </w:t>
      </w:r>
    </w:p>
    <w:p w14:paraId="0F60FC25" w14:textId="77777777" w:rsidR="007D106C" w:rsidRDefault="003D070A" w:rsidP="008C6EBA">
      <w:pPr>
        <w:spacing w:after="240" w:line="240" w:lineRule="auto"/>
        <w:rPr>
          <w:rFonts w:ascii="Tahoma" w:eastAsia="Times New Roman" w:hAnsi="Tahoma" w:cs="Tahoma"/>
          <w:color w:val="000000"/>
        </w:rPr>
      </w:pPr>
      <w:r w:rsidRPr="007D106C">
        <w:rPr>
          <w:rFonts w:ascii="Tahoma" w:eastAsia="Times New Roman" w:hAnsi="Tahoma" w:cs="Tahoma"/>
          <w:color w:val="000000"/>
        </w:rPr>
        <w:t>A social host has an affirmative defense if the social host took reasonable steps to prevent the possession or consumption of alcohol, or notified law enforcement and allowed law enforcement to enter the premises for the purpose of st</w:t>
      </w:r>
      <w:r w:rsidR="00161E9D" w:rsidRPr="007D106C">
        <w:rPr>
          <w:rFonts w:ascii="Tahoma" w:eastAsia="Times New Roman" w:hAnsi="Tahoma" w:cs="Tahoma"/>
          <w:color w:val="000000"/>
        </w:rPr>
        <w:t>opping the illegal activities.</w:t>
      </w:r>
    </w:p>
    <w:p w14:paraId="16B5D496" w14:textId="77777777" w:rsidR="007D106C" w:rsidRPr="00A40747" w:rsidRDefault="007D106C" w:rsidP="007D106C">
      <w:pPr>
        <w:rPr>
          <w:rFonts w:ascii="Tahoma" w:hAnsi="Tahoma" w:cs="Tahoma"/>
        </w:rPr>
      </w:pPr>
      <w:r>
        <w:rPr>
          <w:rFonts w:ascii="Tahoma" w:hAnsi="Tahoma" w:cs="Tahoma"/>
          <w:u w:val="single"/>
        </w:rPr>
        <w:t>Section 5 Evidence of Consumption, Preliminary Breath Test Admissible</w:t>
      </w:r>
      <w:r>
        <w:rPr>
          <w:rFonts w:ascii="Tahoma" w:hAnsi="Tahoma" w:cs="Tahoma"/>
        </w:rPr>
        <w:t xml:space="preserve">: </w:t>
      </w:r>
    </w:p>
    <w:p w14:paraId="58A93A5C" w14:textId="77777777" w:rsidR="003D070A" w:rsidRDefault="007D106C" w:rsidP="007D106C">
      <w:pPr>
        <w:spacing w:after="240" w:line="240" w:lineRule="auto"/>
        <w:rPr>
          <w:rFonts w:ascii="Tahoma" w:eastAsia="Times New Roman" w:hAnsi="Tahoma" w:cs="Tahoma"/>
          <w:color w:val="000000"/>
        </w:rPr>
      </w:pPr>
      <w:r>
        <w:rPr>
          <w:rFonts w:ascii="Tahoma" w:eastAsia="Times New Roman" w:hAnsi="Tahoma" w:cs="Tahoma"/>
          <w:color w:val="000000"/>
        </w:rPr>
        <w:t xml:space="preserve">Evidence obtained during the administration of Preliminary Breath screening Test (PBT), which have been approved by the Department of Public Safety, including the test result expressed in terms of alcohol concentration, shall be admissible at trial on the issue of whether a person under the legal drinking age did or did not possess or consume alcohol. This provision is not intended to exclude other evidence of possession or consumption, or to require admission of a PBT result in order to support a finding of consumption or possession. </w:t>
      </w:r>
    </w:p>
    <w:p w14:paraId="6F30BA47" w14:textId="77777777" w:rsidR="00691B1A" w:rsidRPr="00A40747" w:rsidRDefault="00691B1A" w:rsidP="00691B1A">
      <w:pPr>
        <w:rPr>
          <w:rFonts w:ascii="Tahoma" w:hAnsi="Tahoma" w:cs="Tahoma"/>
        </w:rPr>
      </w:pPr>
      <w:r>
        <w:rPr>
          <w:rFonts w:ascii="Tahoma" w:hAnsi="Tahoma" w:cs="Tahoma"/>
          <w:u w:val="single"/>
        </w:rPr>
        <w:t>Section 6 Penalties</w:t>
      </w:r>
      <w:r>
        <w:rPr>
          <w:rFonts w:ascii="Tahoma" w:hAnsi="Tahoma" w:cs="Tahoma"/>
        </w:rPr>
        <w:t xml:space="preserve">: </w:t>
      </w:r>
    </w:p>
    <w:p w14:paraId="3B673459" w14:textId="77777777" w:rsidR="0027430D" w:rsidRDefault="0027430D" w:rsidP="0027430D">
      <w:pPr>
        <w:spacing w:after="120" w:line="240" w:lineRule="auto"/>
        <w:rPr>
          <w:rFonts w:ascii="Tahoma" w:eastAsia="Times New Roman" w:hAnsi="Tahoma" w:cs="Tahoma"/>
          <w:color w:val="000000"/>
        </w:rPr>
      </w:pPr>
      <w:r>
        <w:rPr>
          <w:rFonts w:ascii="Tahoma" w:eastAsia="Times New Roman" w:hAnsi="Tahoma" w:cs="Tahoma"/>
          <w:color w:val="000000"/>
        </w:rPr>
        <w:t xml:space="preserve">A violation of the provision so of this </w:t>
      </w:r>
      <w:r w:rsidR="00A77894">
        <w:rPr>
          <w:rFonts w:ascii="Tahoma" w:eastAsia="Times New Roman" w:hAnsi="Tahoma" w:cs="Tahoma"/>
          <w:color w:val="000000"/>
        </w:rPr>
        <w:t>o</w:t>
      </w:r>
      <w:r>
        <w:rPr>
          <w:rFonts w:ascii="Tahoma" w:eastAsia="Times New Roman" w:hAnsi="Tahoma" w:cs="Tahoma"/>
          <w:color w:val="000000"/>
        </w:rPr>
        <w:t xml:space="preserve">rdinance shall be enforced as a civil infraction in accordance with Iowa Code Section 331.307. </w:t>
      </w:r>
    </w:p>
    <w:p w14:paraId="01500C3C" w14:textId="77777777" w:rsidR="00A66BB9" w:rsidRDefault="00F231D7" w:rsidP="00A66BB9">
      <w:pPr>
        <w:spacing w:after="120" w:line="240" w:lineRule="auto"/>
        <w:rPr>
          <w:rFonts w:ascii="Tahoma" w:eastAsia="Times New Roman" w:hAnsi="Tahoma" w:cs="Tahoma"/>
          <w:color w:val="000000"/>
        </w:rPr>
      </w:pPr>
      <w:r w:rsidRPr="008F1B18">
        <w:rPr>
          <w:rFonts w:ascii="Tahoma" w:eastAsia="Times New Roman" w:hAnsi="Tahoma" w:cs="Tahoma"/>
          <w:color w:val="000000"/>
        </w:rPr>
        <w:t>A person who violates</w:t>
      </w:r>
      <w:r w:rsidR="00063BF4" w:rsidRPr="008F1B18">
        <w:rPr>
          <w:rFonts w:ascii="Tahoma" w:eastAsia="Times New Roman" w:hAnsi="Tahoma" w:cs="Tahoma"/>
          <w:color w:val="000000"/>
        </w:rPr>
        <w:t xml:space="preserve"> this</w:t>
      </w:r>
      <w:r w:rsidRPr="008F1B18">
        <w:rPr>
          <w:rFonts w:ascii="Tahoma" w:eastAsia="Times New Roman" w:hAnsi="Tahoma" w:cs="Tahoma"/>
          <w:color w:val="000000"/>
        </w:rPr>
        <w:t xml:space="preserve"> Social Host </w:t>
      </w:r>
      <w:r w:rsidR="00A77894">
        <w:rPr>
          <w:rFonts w:ascii="Tahoma" w:eastAsia="Times New Roman" w:hAnsi="Tahoma" w:cs="Tahoma"/>
          <w:color w:val="000000"/>
        </w:rPr>
        <w:t>o</w:t>
      </w:r>
      <w:r w:rsidRPr="008F1B18">
        <w:rPr>
          <w:rFonts w:ascii="Tahoma" w:eastAsia="Times New Roman" w:hAnsi="Tahoma" w:cs="Tahoma"/>
          <w:color w:val="000000"/>
        </w:rPr>
        <w:t xml:space="preserve">rdinance </w:t>
      </w:r>
      <w:r w:rsidR="003D070A" w:rsidRPr="008F1B18">
        <w:rPr>
          <w:rFonts w:ascii="Tahoma" w:eastAsia="Times New Roman" w:hAnsi="Tahoma" w:cs="Tahoma"/>
          <w:color w:val="000000"/>
        </w:rPr>
        <w:t>shall be punishable by the following penalties:</w:t>
      </w:r>
      <w:r w:rsidR="00A66BB9">
        <w:rPr>
          <w:rFonts w:ascii="Tahoma" w:eastAsia="Times New Roman" w:hAnsi="Tahoma" w:cs="Tahoma"/>
          <w:color w:val="000000"/>
        </w:rPr>
        <w:t xml:space="preserve"> </w:t>
      </w:r>
      <w:r w:rsidR="003D070A" w:rsidRPr="008F1B18">
        <w:rPr>
          <w:rFonts w:ascii="Tahoma" w:eastAsia="Times New Roman" w:hAnsi="Tahoma" w:cs="Tahoma"/>
          <w:color w:val="000000"/>
        </w:rPr>
        <w:t xml:space="preserve">A first offense shall be </w:t>
      </w:r>
      <w:r w:rsidR="00161E9D" w:rsidRPr="008F1B18">
        <w:rPr>
          <w:rFonts w:ascii="Tahoma" w:eastAsia="Times New Roman" w:hAnsi="Tahoma" w:cs="Tahoma"/>
          <w:color w:val="000000"/>
        </w:rPr>
        <w:t xml:space="preserve">a </w:t>
      </w:r>
      <w:r w:rsidR="00447FD6">
        <w:rPr>
          <w:rFonts w:ascii="Tahoma" w:eastAsia="Times New Roman" w:hAnsi="Tahoma" w:cs="Tahoma"/>
          <w:color w:val="000000"/>
        </w:rPr>
        <w:t xml:space="preserve">civil penalty of $750.00. </w:t>
      </w:r>
      <w:r w:rsidR="003D070A" w:rsidRPr="008F1B18">
        <w:rPr>
          <w:rFonts w:ascii="Tahoma" w:eastAsia="Times New Roman" w:hAnsi="Tahoma" w:cs="Tahoma"/>
          <w:color w:val="000000"/>
        </w:rPr>
        <w:t xml:space="preserve">A second or subsequent offense shall be a </w:t>
      </w:r>
      <w:r w:rsidR="00447FD6">
        <w:rPr>
          <w:rFonts w:ascii="Tahoma" w:eastAsia="Times New Roman" w:hAnsi="Tahoma" w:cs="Tahoma"/>
          <w:color w:val="000000"/>
        </w:rPr>
        <w:t xml:space="preserve">civil penalty of $1,000.00.  </w:t>
      </w:r>
    </w:p>
    <w:p w14:paraId="76F1FB5D" w14:textId="77777777" w:rsidR="003D070A" w:rsidRPr="008F1B18" w:rsidRDefault="00CE683C" w:rsidP="00A66BB9">
      <w:pPr>
        <w:spacing w:after="120" w:line="240" w:lineRule="auto"/>
        <w:rPr>
          <w:rFonts w:ascii="Tahoma" w:eastAsia="Times New Roman" w:hAnsi="Tahoma" w:cs="Tahoma"/>
          <w:color w:val="000000"/>
        </w:rPr>
      </w:pPr>
      <w:r w:rsidRPr="008F1B18">
        <w:rPr>
          <w:rFonts w:ascii="Tahoma" w:eastAsia="Times New Roman" w:hAnsi="Tahoma" w:cs="Tahoma"/>
          <w:color w:val="000000"/>
        </w:rPr>
        <w:t>T</w:t>
      </w:r>
      <w:r w:rsidR="003D070A" w:rsidRPr="008F1B18">
        <w:rPr>
          <w:rFonts w:ascii="Tahoma" w:eastAsia="Times New Roman" w:hAnsi="Tahoma" w:cs="Tahoma"/>
          <w:color w:val="000000"/>
        </w:rPr>
        <w:t>he County may also seek reimbursement for enforcement services provided by emergency responders related to the event, gathering, or party.</w:t>
      </w:r>
    </w:p>
    <w:p w14:paraId="3C450703" w14:textId="77777777" w:rsidR="00AC44B0" w:rsidRPr="00AC44B0" w:rsidRDefault="00AC44B0" w:rsidP="008C6EBA">
      <w:pPr>
        <w:spacing w:after="240" w:line="240" w:lineRule="auto"/>
        <w:rPr>
          <w:rFonts w:ascii="Tahoma" w:eastAsia="Times New Roman" w:hAnsi="Tahoma" w:cs="Tahoma"/>
          <w:color w:val="000000"/>
        </w:rPr>
      </w:pPr>
      <w:r>
        <w:rPr>
          <w:rFonts w:ascii="Tahoma" w:eastAsia="Times New Roman" w:hAnsi="Tahoma" w:cs="Tahoma"/>
          <w:color w:val="000000"/>
          <w:u w:val="single"/>
        </w:rPr>
        <w:t>Section 7 Jurisdiction</w:t>
      </w:r>
      <w:r>
        <w:rPr>
          <w:rFonts w:ascii="Tahoma" w:eastAsia="Times New Roman" w:hAnsi="Tahoma" w:cs="Tahoma"/>
          <w:color w:val="000000"/>
        </w:rPr>
        <w:t xml:space="preserve">: </w:t>
      </w:r>
    </w:p>
    <w:p w14:paraId="3F2AD695" w14:textId="77777777" w:rsidR="003D070A" w:rsidRPr="008F1B18" w:rsidRDefault="003D070A" w:rsidP="008C6EBA">
      <w:pPr>
        <w:spacing w:after="240" w:line="240" w:lineRule="auto"/>
        <w:rPr>
          <w:rFonts w:ascii="Tahoma" w:eastAsia="Times New Roman" w:hAnsi="Tahoma" w:cs="Tahoma"/>
          <w:color w:val="000000"/>
        </w:rPr>
      </w:pPr>
      <w:r w:rsidRPr="008F1B18">
        <w:rPr>
          <w:rFonts w:ascii="Tahoma" w:eastAsia="Times New Roman" w:hAnsi="Tahoma" w:cs="Tahoma"/>
          <w:color w:val="000000"/>
        </w:rPr>
        <w:t xml:space="preserve">The provisions of this </w:t>
      </w:r>
      <w:r w:rsidR="00A77894">
        <w:rPr>
          <w:rFonts w:ascii="Tahoma" w:eastAsia="Times New Roman" w:hAnsi="Tahoma" w:cs="Tahoma"/>
          <w:color w:val="000000"/>
        </w:rPr>
        <w:t>o</w:t>
      </w:r>
      <w:r w:rsidRPr="008F1B18">
        <w:rPr>
          <w:rFonts w:ascii="Tahoma" w:eastAsia="Times New Roman" w:hAnsi="Tahoma" w:cs="Tahoma"/>
          <w:color w:val="000000"/>
        </w:rPr>
        <w:t xml:space="preserve">rdinance shall apply throughout </w:t>
      </w:r>
      <w:r w:rsidR="00AC44B0">
        <w:rPr>
          <w:rFonts w:ascii="Tahoma" w:eastAsia="Times New Roman" w:hAnsi="Tahoma" w:cs="Tahoma"/>
          <w:color w:val="000000"/>
        </w:rPr>
        <w:t xml:space="preserve">Sioux </w:t>
      </w:r>
      <w:r w:rsidRPr="008F1B18">
        <w:rPr>
          <w:rFonts w:ascii="Tahoma" w:eastAsia="Times New Roman" w:hAnsi="Tahoma" w:cs="Tahoma"/>
          <w:color w:val="000000"/>
        </w:rPr>
        <w:t>County, Iowa, including municipalities that have not enacted a municipal ordinance dealing with similar subject matter.</w:t>
      </w:r>
    </w:p>
    <w:p w14:paraId="6976D975" w14:textId="77777777" w:rsidR="00AC44B0" w:rsidRDefault="00AC44B0" w:rsidP="008C6EBA">
      <w:pPr>
        <w:spacing w:after="240" w:line="240" w:lineRule="auto"/>
        <w:rPr>
          <w:rFonts w:ascii="Tahoma" w:eastAsia="Times New Roman" w:hAnsi="Tahoma" w:cs="Tahoma"/>
          <w:color w:val="000000"/>
        </w:rPr>
      </w:pPr>
      <w:r w:rsidRPr="00AC44B0">
        <w:rPr>
          <w:rFonts w:ascii="Tahoma" w:eastAsia="Times New Roman" w:hAnsi="Tahoma" w:cs="Tahoma"/>
          <w:color w:val="000000"/>
          <w:u w:val="single"/>
        </w:rPr>
        <w:lastRenderedPageBreak/>
        <w:t>Section 8 Effective Date</w:t>
      </w:r>
      <w:r w:rsidRPr="00AC44B0">
        <w:rPr>
          <w:rFonts w:ascii="Tahoma" w:eastAsia="Times New Roman" w:hAnsi="Tahoma" w:cs="Tahoma"/>
          <w:color w:val="000000"/>
        </w:rPr>
        <w:t xml:space="preserve">: </w:t>
      </w:r>
    </w:p>
    <w:p w14:paraId="0F815AB6" w14:textId="77777777" w:rsidR="00AC44B0" w:rsidRDefault="00AC44B0" w:rsidP="008C6EBA">
      <w:pPr>
        <w:spacing w:after="240" w:line="240" w:lineRule="auto"/>
        <w:rPr>
          <w:rFonts w:ascii="Tahoma" w:eastAsia="Times New Roman" w:hAnsi="Tahoma" w:cs="Tahoma"/>
          <w:color w:val="000000"/>
        </w:rPr>
      </w:pPr>
      <w:r>
        <w:rPr>
          <w:rFonts w:ascii="Tahoma" w:eastAsia="Times New Roman" w:hAnsi="Tahoma" w:cs="Tahoma"/>
          <w:color w:val="000000"/>
        </w:rPr>
        <w:t xml:space="preserve">This </w:t>
      </w:r>
      <w:r w:rsidR="00A77894">
        <w:rPr>
          <w:rFonts w:ascii="Tahoma" w:eastAsia="Times New Roman" w:hAnsi="Tahoma" w:cs="Tahoma"/>
          <w:color w:val="000000"/>
        </w:rPr>
        <w:t>o</w:t>
      </w:r>
      <w:r>
        <w:rPr>
          <w:rFonts w:ascii="Tahoma" w:eastAsia="Times New Roman" w:hAnsi="Tahoma" w:cs="Tahoma"/>
          <w:color w:val="000000"/>
        </w:rPr>
        <w:t>rdinance and its provision</w:t>
      </w:r>
      <w:r w:rsidR="00A77894">
        <w:rPr>
          <w:rFonts w:ascii="Tahoma" w:eastAsia="Times New Roman" w:hAnsi="Tahoma" w:cs="Tahoma"/>
          <w:color w:val="000000"/>
        </w:rPr>
        <w:t>s</w:t>
      </w:r>
      <w:r>
        <w:rPr>
          <w:rFonts w:ascii="Tahoma" w:eastAsia="Times New Roman" w:hAnsi="Tahoma" w:cs="Tahoma"/>
          <w:color w:val="000000"/>
        </w:rPr>
        <w:t xml:space="preserve"> shall be effective beginning July 1, 2023. </w:t>
      </w:r>
    </w:p>
    <w:p w14:paraId="7081BF99" w14:textId="77777777" w:rsidR="00AC44B0" w:rsidRDefault="00AC44B0" w:rsidP="008C6EBA">
      <w:pPr>
        <w:spacing w:after="240" w:line="240" w:lineRule="auto"/>
        <w:rPr>
          <w:rFonts w:ascii="Tahoma" w:eastAsia="Times New Roman" w:hAnsi="Tahoma" w:cs="Tahoma"/>
          <w:color w:val="000000"/>
        </w:rPr>
      </w:pPr>
      <w:r>
        <w:rPr>
          <w:rFonts w:ascii="Tahoma" w:eastAsia="Times New Roman" w:hAnsi="Tahoma" w:cs="Tahoma"/>
          <w:color w:val="000000"/>
          <w:u w:val="single"/>
        </w:rPr>
        <w:t xml:space="preserve">Section 9 </w:t>
      </w:r>
      <w:proofErr w:type="spellStart"/>
      <w:r>
        <w:rPr>
          <w:rFonts w:ascii="Tahoma" w:eastAsia="Times New Roman" w:hAnsi="Tahoma" w:cs="Tahoma"/>
          <w:color w:val="000000"/>
          <w:u w:val="single"/>
        </w:rPr>
        <w:t>Repealer</w:t>
      </w:r>
      <w:proofErr w:type="spellEnd"/>
      <w:r>
        <w:rPr>
          <w:rFonts w:ascii="Tahoma" w:eastAsia="Times New Roman" w:hAnsi="Tahoma" w:cs="Tahoma"/>
          <w:color w:val="000000"/>
        </w:rPr>
        <w:t xml:space="preserve">: </w:t>
      </w:r>
    </w:p>
    <w:p w14:paraId="3CA0355C" w14:textId="77777777" w:rsidR="003D070A" w:rsidRDefault="003D070A" w:rsidP="008C6EBA">
      <w:pPr>
        <w:spacing w:after="240" w:line="240" w:lineRule="auto"/>
        <w:rPr>
          <w:rFonts w:ascii="Tahoma" w:eastAsia="Times New Roman" w:hAnsi="Tahoma" w:cs="Tahoma"/>
          <w:color w:val="000000"/>
        </w:rPr>
      </w:pPr>
      <w:r w:rsidRPr="008F1B18">
        <w:rPr>
          <w:rFonts w:ascii="Tahoma" w:eastAsia="Times New Roman" w:hAnsi="Tahoma" w:cs="Tahoma"/>
          <w:color w:val="000000"/>
        </w:rPr>
        <w:t xml:space="preserve">All </w:t>
      </w:r>
      <w:r w:rsidR="00A77894">
        <w:rPr>
          <w:rFonts w:ascii="Tahoma" w:eastAsia="Times New Roman" w:hAnsi="Tahoma" w:cs="Tahoma"/>
          <w:color w:val="000000"/>
        </w:rPr>
        <w:t>o</w:t>
      </w:r>
      <w:r w:rsidRPr="008F1B18">
        <w:rPr>
          <w:rFonts w:ascii="Tahoma" w:eastAsia="Times New Roman" w:hAnsi="Tahoma" w:cs="Tahoma"/>
          <w:color w:val="000000"/>
        </w:rPr>
        <w:t xml:space="preserve">rdinances or parts of </w:t>
      </w:r>
      <w:r w:rsidR="00A77894">
        <w:rPr>
          <w:rFonts w:ascii="Tahoma" w:eastAsia="Times New Roman" w:hAnsi="Tahoma" w:cs="Tahoma"/>
          <w:color w:val="000000"/>
        </w:rPr>
        <w:t>o</w:t>
      </w:r>
      <w:r w:rsidRPr="008F1B18">
        <w:rPr>
          <w:rFonts w:ascii="Tahoma" w:eastAsia="Times New Roman" w:hAnsi="Tahoma" w:cs="Tahoma"/>
          <w:color w:val="000000"/>
        </w:rPr>
        <w:t xml:space="preserve">rdinances in conflict with the provisions of this </w:t>
      </w:r>
      <w:r w:rsidR="00A77894">
        <w:rPr>
          <w:rFonts w:ascii="Tahoma" w:eastAsia="Times New Roman" w:hAnsi="Tahoma" w:cs="Tahoma"/>
          <w:color w:val="000000"/>
        </w:rPr>
        <w:t>o</w:t>
      </w:r>
      <w:r w:rsidRPr="008F1B18">
        <w:rPr>
          <w:rFonts w:ascii="Tahoma" w:eastAsia="Times New Roman" w:hAnsi="Tahoma" w:cs="Tahoma"/>
          <w:color w:val="000000"/>
        </w:rPr>
        <w:t xml:space="preserve">rdinance are hereby repealed.  </w:t>
      </w:r>
    </w:p>
    <w:p w14:paraId="692BF019" w14:textId="77777777" w:rsidR="00AC44B0" w:rsidRDefault="00AC44B0" w:rsidP="008C6EBA">
      <w:pPr>
        <w:spacing w:after="240" w:line="240" w:lineRule="auto"/>
        <w:rPr>
          <w:rFonts w:ascii="Tahoma" w:eastAsia="Times New Roman" w:hAnsi="Tahoma" w:cs="Tahoma"/>
          <w:color w:val="000000"/>
        </w:rPr>
      </w:pPr>
      <w:r>
        <w:rPr>
          <w:rFonts w:ascii="Tahoma" w:eastAsia="Times New Roman" w:hAnsi="Tahoma" w:cs="Tahoma"/>
          <w:color w:val="000000"/>
          <w:u w:val="single"/>
        </w:rPr>
        <w:t>Section 10 Severability</w:t>
      </w:r>
      <w:r>
        <w:rPr>
          <w:rFonts w:ascii="Tahoma" w:eastAsia="Times New Roman" w:hAnsi="Tahoma" w:cs="Tahoma"/>
          <w:color w:val="000000"/>
        </w:rPr>
        <w:t xml:space="preserve">: </w:t>
      </w:r>
    </w:p>
    <w:p w14:paraId="55A6DB94" w14:textId="77777777" w:rsidR="003D070A" w:rsidRPr="00AC44B0" w:rsidRDefault="003D070A" w:rsidP="00AC44B0">
      <w:pPr>
        <w:spacing w:after="240" w:line="240" w:lineRule="auto"/>
        <w:rPr>
          <w:rFonts w:ascii="Tahoma" w:eastAsia="Times New Roman" w:hAnsi="Tahoma" w:cs="Tahoma"/>
          <w:color w:val="000000"/>
        </w:rPr>
      </w:pPr>
      <w:r w:rsidRPr="008F1B18">
        <w:rPr>
          <w:rFonts w:ascii="Tahoma" w:eastAsia="Times New Roman" w:hAnsi="Tahoma" w:cs="Tahoma"/>
          <w:color w:val="000000"/>
        </w:rPr>
        <w:t>If any section, provision, sentence, clause, phrase or part of this ordinance shall be adjudged invalid or unconstitutional, such adjudication shall not affect the validity of the ordinance as a whole or any provision, section, subsection, clause, phrase, or part hereof not adjudged invalid or unconstitutional.</w:t>
      </w:r>
    </w:p>
    <w:p w14:paraId="7D429733" w14:textId="77777777" w:rsidR="003D070A" w:rsidRPr="008F1B18" w:rsidRDefault="003D070A" w:rsidP="00384BC4">
      <w:pPr>
        <w:spacing w:after="0"/>
        <w:rPr>
          <w:rFonts w:ascii="Tahoma" w:hAnsi="Tahoma" w:cs="Tahoma"/>
        </w:rPr>
      </w:pPr>
    </w:p>
    <w:sectPr w:rsidR="003D070A" w:rsidRPr="008F1B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580D" w14:textId="77777777" w:rsidR="00657720" w:rsidRDefault="00657720" w:rsidP="00657720">
      <w:pPr>
        <w:spacing w:after="0" w:line="240" w:lineRule="auto"/>
      </w:pPr>
      <w:r>
        <w:separator/>
      </w:r>
    </w:p>
  </w:endnote>
  <w:endnote w:type="continuationSeparator" w:id="0">
    <w:p w14:paraId="3D4B21B0" w14:textId="77777777" w:rsidR="00657720" w:rsidRDefault="00657720" w:rsidP="0065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526714"/>
      <w:docPartObj>
        <w:docPartGallery w:val="Page Numbers (Bottom of Page)"/>
        <w:docPartUnique/>
      </w:docPartObj>
    </w:sdtPr>
    <w:sdtEndPr>
      <w:rPr>
        <w:noProof/>
      </w:rPr>
    </w:sdtEndPr>
    <w:sdtContent>
      <w:p w14:paraId="22A5720B" w14:textId="77777777" w:rsidR="00D01728" w:rsidRDefault="00D01728">
        <w:pPr>
          <w:pStyle w:val="Footer"/>
          <w:jc w:val="center"/>
        </w:pPr>
        <w:r>
          <w:fldChar w:fldCharType="begin"/>
        </w:r>
        <w:r>
          <w:instrText xml:space="preserve"> PAGE   \* MERGEFORMAT </w:instrText>
        </w:r>
        <w:r>
          <w:fldChar w:fldCharType="separate"/>
        </w:r>
        <w:r w:rsidR="00831055">
          <w:rPr>
            <w:noProof/>
          </w:rPr>
          <w:t>4</w:t>
        </w:r>
        <w:r>
          <w:rPr>
            <w:noProof/>
          </w:rPr>
          <w:fldChar w:fldCharType="end"/>
        </w:r>
      </w:p>
    </w:sdtContent>
  </w:sdt>
  <w:p w14:paraId="4014D65B" w14:textId="77777777" w:rsidR="00657720" w:rsidRDefault="00657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88F1" w14:textId="77777777" w:rsidR="00657720" w:rsidRDefault="00657720" w:rsidP="00657720">
      <w:pPr>
        <w:spacing w:after="0" w:line="240" w:lineRule="auto"/>
      </w:pPr>
      <w:r>
        <w:separator/>
      </w:r>
    </w:p>
  </w:footnote>
  <w:footnote w:type="continuationSeparator" w:id="0">
    <w:p w14:paraId="4E4C8611" w14:textId="77777777" w:rsidR="00657720" w:rsidRDefault="00657720" w:rsidP="0065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642B" w14:textId="77777777" w:rsidR="00657720" w:rsidRDefault="00657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2856"/>
    <w:multiLevelType w:val="hybridMultilevel"/>
    <w:tmpl w:val="0576C500"/>
    <w:lvl w:ilvl="0" w:tplc="553419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9C59D1"/>
    <w:multiLevelType w:val="hybridMultilevel"/>
    <w:tmpl w:val="4F52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857519">
    <w:abstractNumId w:val="0"/>
  </w:num>
  <w:num w:numId="2" w16cid:durableId="168666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FC"/>
    <w:rsid w:val="00036242"/>
    <w:rsid w:val="00063BF4"/>
    <w:rsid w:val="00107D0E"/>
    <w:rsid w:val="00146A47"/>
    <w:rsid w:val="00161E9D"/>
    <w:rsid w:val="001B529E"/>
    <w:rsid w:val="002269EE"/>
    <w:rsid w:val="00243DA8"/>
    <w:rsid w:val="0027430D"/>
    <w:rsid w:val="00325129"/>
    <w:rsid w:val="00384BC4"/>
    <w:rsid w:val="003C3764"/>
    <w:rsid w:val="003C5165"/>
    <w:rsid w:val="003D070A"/>
    <w:rsid w:val="003D255D"/>
    <w:rsid w:val="00447FD6"/>
    <w:rsid w:val="005274D8"/>
    <w:rsid w:val="00570517"/>
    <w:rsid w:val="00657720"/>
    <w:rsid w:val="00657B22"/>
    <w:rsid w:val="00691B1A"/>
    <w:rsid w:val="006978C2"/>
    <w:rsid w:val="006B0C9A"/>
    <w:rsid w:val="007D106C"/>
    <w:rsid w:val="00831055"/>
    <w:rsid w:val="008C648A"/>
    <w:rsid w:val="008C6EBA"/>
    <w:rsid w:val="008D1BEB"/>
    <w:rsid w:val="008F1B18"/>
    <w:rsid w:val="008F6223"/>
    <w:rsid w:val="008F7524"/>
    <w:rsid w:val="00960164"/>
    <w:rsid w:val="009A1198"/>
    <w:rsid w:val="00A120C1"/>
    <w:rsid w:val="00A40747"/>
    <w:rsid w:val="00A66BB9"/>
    <w:rsid w:val="00A77894"/>
    <w:rsid w:val="00A976E2"/>
    <w:rsid w:val="00AA7E2A"/>
    <w:rsid w:val="00AC44B0"/>
    <w:rsid w:val="00AE1A27"/>
    <w:rsid w:val="00B469D4"/>
    <w:rsid w:val="00B83C10"/>
    <w:rsid w:val="00C44449"/>
    <w:rsid w:val="00CA1738"/>
    <w:rsid w:val="00CE683C"/>
    <w:rsid w:val="00CF5207"/>
    <w:rsid w:val="00D01728"/>
    <w:rsid w:val="00D26A3E"/>
    <w:rsid w:val="00D41506"/>
    <w:rsid w:val="00D4334E"/>
    <w:rsid w:val="00D6023F"/>
    <w:rsid w:val="00DF70C3"/>
    <w:rsid w:val="00E929FC"/>
    <w:rsid w:val="00ED38EB"/>
    <w:rsid w:val="00EE68C2"/>
    <w:rsid w:val="00F02F2D"/>
    <w:rsid w:val="00F231D7"/>
    <w:rsid w:val="00F40F63"/>
    <w:rsid w:val="00F75F06"/>
    <w:rsid w:val="00FC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47457"/>
  <w15:docId w15:val="{848D51F5-1E1F-42F1-8099-E4FDE553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747"/>
    <w:pPr>
      <w:ind w:left="720"/>
      <w:contextualSpacing/>
    </w:pPr>
  </w:style>
  <w:style w:type="paragraph" w:styleId="Header">
    <w:name w:val="header"/>
    <w:basedOn w:val="Normal"/>
    <w:link w:val="HeaderChar"/>
    <w:uiPriority w:val="99"/>
    <w:unhideWhenUsed/>
    <w:rsid w:val="0065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720"/>
  </w:style>
  <w:style w:type="paragraph" w:styleId="Footer">
    <w:name w:val="footer"/>
    <w:basedOn w:val="Normal"/>
    <w:link w:val="FooterChar"/>
    <w:uiPriority w:val="99"/>
    <w:unhideWhenUsed/>
    <w:rsid w:val="0065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53E4E19B3D9647BAEBB15DB7EFA53C" ma:contentTypeVersion="1" ma:contentTypeDescription="Create a new document." ma:contentTypeScope="" ma:versionID="3733b8882fbb93f58a1f0f180a9bfd0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58561-A4A5-41B7-B141-D73310AAB94F}">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D0C8240-5C64-487D-93C4-00459122E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97125-F6DC-47CA-9F9A-0C045EFBA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Joe Van Tol</cp:lastModifiedBy>
  <cp:revision>2</cp:revision>
  <dcterms:created xsi:type="dcterms:W3CDTF">2023-04-26T14:31:00Z</dcterms:created>
  <dcterms:modified xsi:type="dcterms:W3CDTF">2023-04-26T14:31:00Z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0x010100C453E4E19B3D9647BAEBB15DB7EFA53C</vt:lpwstr>
  </property>
</Properties>
</file>